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EF5D91A2ECE4BF9AEB1DFF2E1F247F4" style="width:450pt;height:393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ПОПРАВКА</w:t>
      </w:r>
    </w:p>
    <w:p>
      <w:pPr>
        <w:pStyle w:val="Titreobjet"/>
        <w:rPr>
          <w:noProof/>
        </w:rPr>
      </w:pPr>
      <w:r>
        <w:rPr>
          <w:noProof/>
        </w:rPr>
        <w:t>на Делегиран регламент на Комисията за допълване на Директива 2014/65/ЕС на Европейския парламент и на Съвета по отношение на регулаторните технически стандарти за определяне на организационните изисквания към инвестиционните посредници, които извършват алгоритмична търговия</w:t>
      </w:r>
      <w:r>
        <w:rPr>
          <w:noProof/>
        </w:rPr>
        <w:br/>
      </w:r>
      <w:r>
        <w:rPr>
          <w:noProof/>
        </w:rPr>
        <w:br/>
        <w:t>C(2016) 4478 final</w:t>
      </w:r>
    </w:p>
    <w:p>
      <w:pPr>
        <w:ind w:left="720" w:hanging="720"/>
        <w:jc w:val="both"/>
        <w:rPr>
          <w:rFonts w:ascii="Times New Roman" w:hAnsi="Times New Roman"/>
          <w:noProof/>
          <w:sz w:val="24"/>
        </w:rPr>
        <w:sectPr>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pgNumType w:start="2"/>
          <w:cols w:space="720"/>
          <w:docGrid w:linePitch="360"/>
        </w:sectPr>
      </w:pPr>
    </w:p>
    <w:p>
      <w:pPr>
        <w:ind w:left="720" w:hanging="720"/>
        <w:jc w:val="both"/>
        <w:rPr>
          <w:rFonts w:ascii="Times New Roman" w:hAnsi="Times New Roman" w:cs="Times New Roman"/>
          <w:noProof/>
          <w:sz w:val="24"/>
          <w:szCs w:val="24"/>
        </w:rPr>
      </w:pPr>
      <w:r>
        <w:rPr>
          <w:rFonts w:ascii="Times New Roman" w:hAnsi="Times New Roman"/>
          <w:noProof/>
          <w:sz w:val="24"/>
        </w:rPr>
        <w:t>В член 16, параграф 2:</w:t>
      </w:r>
    </w:p>
    <w:p>
      <w:pPr>
        <w:ind w:left="720" w:hanging="720"/>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rFonts w:ascii="Times New Roman" w:hAnsi="Times New Roman"/>
          <w:noProof/>
          <w:sz w:val="24"/>
        </w:rPr>
        <w:t>„Наблюдението в реално време на операциите по алгоритмична търговия се извършва от търговеца, отговарящ за търговския алгоритъм или стратегията за алгоритмична търговия, от персонала, отговорен за функцията по управление на риска, или от независима структура за управление на риска, създадена за целите на тази разпоредба. Подобна функция за управление на риска се смята за независима без значение дали наблюдението в реално време се извършва от член на персонала на инвестиционния посредник или от трета страна, при условие че тази функция не е йерархически зависима от търговеца и съответното лице може да се противопоставя, когато е уместно и необходимо, в съответствие с рамката за управление, посочена в член 1.“,</w:t>
      </w:r>
    </w:p>
    <w:p>
      <w:pPr>
        <w:ind w:left="720" w:hanging="720"/>
        <w:jc w:val="both"/>
        <w:rPr>
          <w:rFonts w:ascii="Times New Roman" w:hAnsi="Times New Roman" w:cs="Times New Roman"/>
          <w:noProof/>
          <w:sz w:val="24"/>
          <w:szCs w:val="24"/>
        </w:rPr>
      </w:pPr>
      <w:r>
        <w:rPr>
          <w:rFonts w:ascii="Times New Roman" w:hAnsi="Times New Roman"/>
          <w:i/>
          <w:noProof/>
          <w:sz w:val="24"/>
        </w:rPr>
        <w:t xml:space="preserve">да се чете: </w:t>
      </w:r>
      <w:r>
        <w:rPr>
          <w:rFonts w:ascii="Times New Roman" w:hAnsi="Times New Roman"/>
          <w:noProof/>
          <w:sz w:val="24"/>
        </w:rPr>
        <w:t>„Наблюдението в реално време на операциите по алгоритмична търговия се извършва от търговеца, отговарящ за търговския алгоритъм или стратегията за алгоритмична търговия, и от персонала, отговорен за функцията по управление на риска, или от независима структура за управление на риска, създадена за целите на тази разпоредба. Тази функция за управление на риска се смята за независима без значение дали наблюдението в реално време се извършва от член на персонала на инвестиционния посредник или от трета страна, при условие че тази функция не е йерархически зависима от търговеца и съответното лице може да се противопоставя, когато е уместно и необходимо, в съответствие с рамката за управление, посочена в член 1.“.</w:t>
      </w:r>
    </w:p>
    <w:p>
      <w:pPr>
        <w:ind w:left="720" w:hanging="720"/>
        <w:jc w:val="both"/>
        <w:rPr>
          <w:rFonts w:ascii="Times New Roman" w:hAnsi="Times New Roman" w:cs="Times New Roman"/>
          <w:noProof/>
          <w:sz w:val="24"/>
          <w:szCs w:val="24"/>
        </w:rPr>
      </w:pPr>
    </w:p>
    <w:p>
      <w:pPr>
        <w:ind w:left="720" w:hanging="720"/>
        <w:jc w:val="both"/>
        <w:rPr>
          <w:rFonts w:ascii="Times New Roman" w:hAnsi="Times New Roman" w:cs="Times New Roman"/>
          <w:noProof/>
          <w:sz w:val="24"/>
          <w:szCs w:val="24"/>
        </w:rPr>
      </w:pPr>
      <w:r>
        <w:rPr>
          <w:rFonts w:ascii="Times New Roman" w:hAnsi="Times New Roman"/>
          <w:noProof/>
          <w:sz w:val="24"/>
        </w:rPr>
        <w:t>В член 29, втора алинея:</w:t>
      </w:r>
    </w:p>
    <w:p>
      <w:pPr>
        <w:ind w:left="720" w:hanging="720"/>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rFonts w:ascii="Times New Roman" w:hAnsi="Times New Roman"/>
          <w:noProof/>
          <w:sz w:val="24"/>
        </w:rPr>
        <w:t>„Той се прилага от първата от посочените в член 93, параграф 1, втора алинея от Директива 2014/65/ЕС дати.“,</w:t>
      </w:r>
    </w:p>
    <w:p>
      <w:pPr>
        <w:ind w:left="720" w:hanging="720"/>
        <w:jc w:val="both"/>
        <w:rPr>
          <w:rFonts w:ascii="Times New Roman" w:hAnsi="Times New Roman" w:cs="Times New Roman"/>
          <w:noProof/>
          <w:sz w:val="24"/>
          <w:szCs w:val="24"/>
        </w:rPr>
      </w:pPr>
      <w:r>
        <w:rPr>
          <w:rFonts w:ascii="Times New Roman" w:hAnsi="Times New Roman"/>
          <w:i/>
          <w:noProof/>
          <w:sz w:val="24"/>
        </w:rPr>
        <w:t>да се чете:</w:t>
      </w:r>
      <w:r>
        <w:rPr>
          <w:noProof/>
        </w:rPr>
        <w:tab/>
      </w:r>
      <w:r>
        <w:rPr>
          <w:rFonts w:ascii="Times New Roman" w:hAnsi="Times New Roman"/>
          <w:noProof/>
          <w:sz w:val="24"/>
        </w:rPr>
        <w:t>„Той се прилага от 3 януари 2018 г.“.</w:t>
      </w:r>
    </w:p>
    <w:p>
      <w:pPr>
        <w:rPr>
          <w:noProof/>
        </w:rPr>
      </w:pPr>
    </w:p>
    <w:sectPr>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5839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9389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VERPAGE_GUID" w:val="BEF5D91A2ECE4BF9AEB1DFF2E1F247F4"/>
    <w:docVar w:name="LW_CROSSREFERENCE" w:val="&lt;UNUSED&gt;"/>
    <w:docVar w:name="LW_DATE.ADOPT.CP" w:val="\u1086?\u1090? 15.3.2017 \u1075?\u1086?\u1076?\u1080?\u1085?\u1072?"/>
    <w:docVar w:name="LW_DATE.ADOPT.CP_ISODATE" w:val="2017-03-15"/>
    <w:docVar w:name="LW_DocType" w:val="NORMAL"/>
    <w:docVar w:name="LW_EMISSION" w:val="15.3.2017"/>
    <w:docVar w:name="LW_EMISSION_ISODATE" w:val="2017-03-15"/>
    <w:docVar w:name="LW_EMISSION_LOCATION" w:val="BRX"/>
    <w:docVar w:name="LW_EMISSION_PREFIX" w:val="Брюксел, "/>
    <w:docVar w:name="LW_EMISSION_SUFFIX" w:val=" \u1075?."/>
    <w:docVar w:name="LW_ID_DOCTYPE_NONLW" w:val="CP-03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17) 1876"/>
    <w:docVar w:name="LW_REF.INTERNE" w:val="&lt;UNUSED&gt;"/>
    <w:docVar w:name="LW_SOUS.TITRE.OBJ.CP" w:val="&lt;UNUSED&gt;"/>
    <w:docVar w:name="LW_SUPERTITRE" w:val="&lt;UNUSED&gt;"/>
    <w:docVar w:name="LW_TITRE.OBJ.CP" w:val="\u1085?\u1072? \u1044?\u1077?\u1083?\u1077?\u1075?\u1080?\u1088?\u1072?\u1085? \u1088?\u1077?\u1075?\u1083?\u1072?\u1084?\u1077?\u1085?\u1090? \u1085?\u1072? \u1050?\u1086?\u1084?\u1080?\u1089?\u1080?\u1103?\u1090?\u1072? \u1079?\u1072? \u1076?\u1086?\u1087?\u1098?\u1083?\u1074?\u1072?\u1085?\u1077? \u1085?\u1072? \u1044?\u1080?\u1088?\u1077?\u1082?\u1090?\u1080?\u1074?\u1072? 2014/65/\u1045?\u1057? \u1085?\u1072? \u1045?\u1074?\u1088?\u1086?\u1087?\u1077?\u1081?\u1089?\u1082?\u1080?\u1103? \u1087?\u1072?\u1088?\u1083?\u1072?\u1084?\u1077?\u1085?\u1090? \u1080? \u1085?\u1072? \u1057?\u1098?\u1074?\u1077?\u1090?\u1072? \u1087?\u1086? \u1086?\u1090?\u1085?\u1086?\u1096?\u1077?\u1085?\u1080?\u1077? \u1085?\u1072? \u1088?\u1077?\u1075?\u1091?\u1083?\u1072?\u1090?\u1086?\u1088?\u1085?\u1080?\u1090?\u1077? \u1090?\u1077?\u1093?\u1085?\u1080?\u1095?\u1077?\u1089?\u1082?\u1080? \u1089?\u1090?\u1072?\u1085?\u1076?\u1072?\u1088?\u1090?\u1080? \u1079?\u1072? \u1086?\u1087?\u1088?\u1077?\u1076?\u1077?\u1083?\u1103?\u1085?\u1077? \u1085?\u1072? \u1086?\u1088?\u1075?\u1072?\u1085?\u1080?\u1079?\u1072?\u1094?\u1080?\u1086?\u1085?\u1085?\u1080?\u1090?\u1077? \u1080?\u1079?\u1080?\u1089?\u1082?\u1074?\u1072?\u1085?\u1080?\u1103? \u1082?\u1098?\u1084? \u1080?\u1085?\u1074?\u1077?\u1089?\u1090?\u1080?\u1094?\u1080?\u1086?\u1085?\u1085?\u1080?\u1090?\u1077? \u1087?\u1086?\u1089?\u1088?\u1077?\u1076?\u1085?\u1080?\u1094?\u1080?, \u1082?\u1086?\u1080?\u1090?\u1086? \u1080?\u1079?\u1074?\u1098?\u1088?\u1096?\u1074?\u1072?\u1090? \u1072?\u1083?\u1075?\u1086?\u1088?\u1080?\u1090?\u1084?\u1080?\u1095?\u1085?\u1072? \u1090?\u1098?\u1088?\u1075?\u1086?\u1074?\u1080?\u1103?_x000b__x000b_C(2016) 4478 final"/>
    <w:docVar w:name="LW_TYPE.DOC.CP" w:val="\u1055?\u1054?\u1055?\u1056?\u1040?\u1042?\u1050?\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300</Words>
  <Characters>1683</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2017-03-08T14:41:00Z</dcterms:created>
  <dcterms:modified xsi:type="dcterms:W3CDTF">2017-03-16T08:55:00Z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